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1421" w:rsidRDefault="00530004">
      <w:pPr>
        <w:pStyle w:val="berschrift1"/>
      </w:pPr>
      <w:r>
        <w:t xml:space="preserve">ACAT-Review-Guide – Ein tätigkeitstheoretischer Blick </w:t>
      </w:r>
      <w:r>
        <w:rPr>
          <w:rFonts w:ascii="Arial Unicode MS" w:hAnsi="Arial Unicode MS"/>
        </w:rPr>
        <w:br/>
      </w:r>
      <w:r>
        <w:t>auf die Beurteilung von Mathematik-Apps</w:t>
      </w:r>
    </w:p>
    <w:p w:rsidR="002F1421" w:rsidRDefault="00530004">
      <w:pPr>
        <w:pStyle w:val="Autoren"/>
      </w:pPr>
      <w:r>
        <w:t>Heiko Etzold &amp; Ulrich Kortenkamp, Universität Potsdam</w:t>
      </w:r>
      <w:r>
        <w:rPr>
          <w:rFonts w:ascii="Arial Unicode MS" w:hAnsi="Arial Unicode MS"/>
        </w:rPr>
        <w:br/>
      </w:r>
      <w:r>
        <w:t>Silke Ladel, Pädagogische Hochschule Schwäbisch Gmünd</w:t>
      </w:r>
    </w:p>
    <w:p w:rsidR="002F1421" w:rsidRDefault="00530004">
      <w:pPr>
        <w:pStyle w:val="berschrift2"/>
      </w:pPr>
      <w:r>
        <w:t>Einleitung</w:t>
      </w:r>
    </w:p>
    <w:p w:rsidR="002F1421" w:rsidRDefault="00530004">
      <w:r>
        <w:t xml:space="preserve">Neben der Entwicklung von Apps für den </w:t>
      </w:r>
      <w:r>
        <w:t xml:space="preserve">Mathematikunterricht ist es auch eine Aufgabe der sich mit digitalen Medien beschäftigenden Mathematikdidaktik als </w:t>
      </w:r>
      <w:r>
        <w:rPr>
          <w:i/>
          <w:iCs/>
        </w:rPr>
        <w:t>Design Science</w:t>
      </w:r>
      <w:r>
        <w:t xml:space="preserve"> (Wittmann, 1995), Richtlinien zur Beurteilung existierender solcher Apps zu entwickeln. Bisher sind dafür vorwiegend Kategoris</w:t>
      </w:r>
      <w:r>
        <w:t>ierungen und teils daraus resultierende Rangfolgen von Apps bekannt (z. B. Highfield &amp; Goodwin, 2013), die aber für ein konkretes Unterrichtsthema nicht immer Hinweise darüber geben, ob der Einsatz der entsprechenden App nun gewinnbringend sein kann oder n</w:t>
      </w:r>
      <w:r>
        <w:t>icht. Wir möchten stattdessen hier eine theoriegebundene Beurteilung von Apps für den Einsatz im Mathematikun</w:t>
      </w:r>
      <w:r>
        <w:t xml:space="preserve">terricht vorstellen, mit der explizit nicht herausgefunden wird, ob es sich nun um eine „gute“ oder „schlechte“ Anwendung handelt, sondern es soll </w:t>
      </w:r>
      <w:r>
        <w:t xml:space="preserve">vielmehr ein Leitfaden zur </w:t>
      </w:r>
      <w:r>
        <w:t>Verfügung gestellt werden kann, der dabei hilft, den Einsatz einer bestimmten App bes</w:t>
      </w:r>
      <w:r>
        <w:t>ser einschätzen zu können.</w:t>
      </w:r>
    </w:p>
    <w:p w:rsidR="002F1421" w:rsidRDefault="00530004">
      <w:r>
        <w:rPr>
          <w:noProof/>
        </w:rPr>
        <w:drawing>
          <wp:anchor distT="57150" distB="57150" distL="57150" distR="57150" simplePos="0" relativeHeight="251659264" behindDoc="0" locked="0" layoutInCell="1" allowOverlap="1">
            <wp:simplePos x="0" y="0"/>
            <wp:positionH relativeFrom="column">
              <wp:posOffset>4229100</wp:posOffset>
            </wp:positionH>
            <wp:positionV relativeFrom="line">
              <wp:posOffset>20955</wp:posOffset>
            </wp:positionV>
            <wp:extent cx="1439545" cy="1287145"/>
            <wp:effectExtent l="0" t="0" r="0" b="0"/>
            <wp:wrapSquare wrapText="bothSides" distT="57150" distB="57150" distL="57150" distR="57150"/>
            <wp:docPr id="1073741825" name="officeArt object" descr="ACAT"/>
            <wp:cNvGraphicFramePr/>
            <a:graphic xmlns:a="http://schemas.openxmlformats.org/drawingml/2006/main">
              <a:graphicData uri="http://schemas.openxmlformats.org/drawingml/2006/picture">
                <pic:pic xmlns:pic="http://schemas.openxmlformats.org/drawingml/2006/picture">
                  <pic:nvPicPr>
                    <pic:cNvPr id="1073741825" name="ACAT" descr="ACAT"/>
                    <pic:cNvPicPr>
                      <a:picLocks noChangeAspect="1"/>
                    </pic:cNvPicPr>
                  </pic:nvPicPr>
                  <pic:blipFill>
                    <a:blip r:embed="rId7">
                      <a:extLst/>
                    </a:blip>
                    <a:stretch>
                      <a:fillRect/>
                    </a:stretch>
                  </pic:blipFill>
                  <pic:spPr>
                    <a:xfrm>
                      <a:off x="0" y="0"/>
                      <a:ext cx="1439545" cy="1287145"/>
                    </a:xfrm>
                    <a:prstGeom prst="rect">
                      <a:avLst/>
                    </a:prstGeom>
                    <a:ln w="12700" cap="flat">
                      <a:noFill/>
                      <a:miter lim="400000"/>
                    </a:ln>
                    <a:effectLst/>
                  </pic:spPr>
                </pic:pic>
              </a:graphicData>
            </a:graphic>
          </wp:anchor>
        </w:drawing>
      </w:r>
      <w:r>
        <w:t xml:space="preserve">Theoretische Grundlage für unser Beurteilungsschema ist die </w:t>
      </w:r>
      <w:r>
        <w:t>Tätigkeitstheorie, speziell das ACAT-Modell (</w:t>
      </w:r>
      <w:r>
        <w:rPr>
          <w:i/>
          <w:iCs/>
        </w:rPr>
        <w:t>Artifact Ce</w:t>
      </w:r>
      <w:r>
        <w:rPr>
          <w:i/>
          <w:iCs/>
        </w:rPr>
        <w:t>ntric Activitiy Theory</w:t>
      </w:r>
      <w:r>
        <w:t xml:space="preserve">, siehe Ladel &amp; Kortenkamp, 2014a). Dieses beschreibt das Beziehungsgefüge zwischen einem </w:t>
      </w:r>
      <w:r>
        <w:rPr>
          <w:rFonts w:ascii="Lato Black" w:hAnsi="Lato Black"/>
        </w:rPr>
        <w:t>S</w:t>
      </w:r>
      <w:r>
        <w:t xml:space="preserve">ubjekt (in der Regel eine Schülerin oder ein Schüler), einem </w:t>
      </w:r>
      <w:r>
        <w:rPr>
          <w:rFonts w:ascii="Lato Black" w:hAnsi="Lato Black"/>
        </w:rPr>
        <w:t>O</w:t>
      </w:r>
      <w:r>
        <w:t xml:space="preserve">bjekt (dem mathematischen Unterrichtsinhalt), dem vermittelnden </w:t>
      </w:r>
      <w:r>
        <w:rPr>
          <w:rFonts w:ascii="Lato Black" w:hAnsi="Lato Black"/>
        </w:rPr>
        <w:t>A</w:t>
      </w:r>
      <w:r>
        <w:t>rtefakt (in dies</w:t>
      </w:r>
      <w:r>
        <w:t xml:space="preserve">em Fall einer App, über die sich die Schülerin oder der Schüler mit dem mathematischen Inhalt auseinandersetzt) sowie </w:t>
      </w:r>
      <w:r>
        <w:rPr>
          <w:rFonts w:ascii="Lato Black" w:hAnsi="Lato Black"/>
        </w:rPr>
        <w:t>R</w:t>
      </w:r>
      <w:r>
        <w:t>e</w:t>
      </w:r>
      <w:r>
        <w:t xml:space="preserve">geln (die vom mathematischen Objekt ausgehend beschreiben, wie sich die App verhalten soll) und dem Einfluss der </w:t>
      </w:r>
      <w:r>
        <w:rPr>
          <w:rFonts w:ascii="Lato Black" w:hAnsi="Lato Black"/>
        </w:rPr>
        <w:t>G</w:t>
      </w:r>
      <w:r>
        <w:t>ruppe (also der gesamt</w:t>
      </w:r>
      <w:r>
        <w:t>en Klassensituation im Unterricht).</w:t>
      </w:r>
    </w:p>
    <w:p w:rsidR="002F1421" w:rsidRDefault="00530004">
      <w:r>
        <w:t>Um den folgenden Review-Guide zu verstehen und nachzuvollziehen, ist es nicht un</w:t>
      </w:r>
      <w:r>
        <w:t>bedingt notwendig, die theoretischen Grundlagen bis ins Detail zu kennen; eine hilfrei</w:t>
      </w:r>
      <w:r>
        <w:t>che Einführung in die Thematik bietet beispielsweise K</w:t>
      </w:r>
      <w:r>
        <w:t xml:space="preserve">aptelinin (2014). Zu jedem </w:t>
      </w:r>
      <w:r>
        <w:t xml:space="preserve">Schritt des Review-Guides wird als Hintergrund die Verknüpfung zu den theoretischen </w:t>
      </w:r>
      <w:r w:rsidR="00FC22FD">
        <w:rPr>
          <w:noProof/>
        </w:rPr>
        <mc:AlternateContent>
          <mc:Choice Requires="wps">
            <w:drawing>
              <wp:anchor distT="152400" distB="152400" distL="152400" distR="152400" simplePos="0" relativeHeight="251665408" behindDoc="0" locked="0" layoutInCell="1" allowOverlap="1">
                <wp:simplePos x="0" y="0"/>
                <wp:positionH relativeFrom="margin">
                  <wp:posOffset>16510</wp:posOffset>
                </wp:positionH>
                <wp:positionV relativeFrom="line">
                  <wp:posOffset>396875</wp:posOffset>
                </wp:positionV>
                <wp:extent cx="5755641" cy="874447"/>
                <wp:effectExtent l="0" t="0" r="0" b="0"/>
                <wp:wrapTopAndBottom distT="152400" distB="152400"/>
                <wp:docPr id="1073741826" name="officeArt object"/>
                <wp:cNvGraphicFramePr/>
                <a:graphic xmlns:a="http://schemas.openxmlformats.org/drawingml/2006/main">
                  <a:graphicData uri="http://schemas.microsoft.com/office/word/2010/wordprocessingShape">
                    <wps:wsp>
                      <wps:cNvSpPr txBox="1"/>
                      <wps:spPr>
                        <a:xfrm>
                          <a:off x="0" y="0"/>
                          <a:ext cx="5755641" cy="874447"/>
                        </a:xfrm>
                        <a:prstGeom prst="rect">
                          <a:avLst/>
                        </a:prstGeom>
                        <a:noFill/>
                        <a:ln w="12700" cap="flat">
                          <a:noFill/>
                          <a:miter lim="400000"/>
                        </a:ln>
                        <a:effectLst/>
                      </wps:spPr>
                      <wps:txbx>
                        <w:txbxContent>
                          <w:p w:rsidR="002F1421" w:rsidRDefault="005300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 w:lineRule="atLeast"/>
                              <w:jc w:val="center"/>
                              <w:rPr>
                                <w:rFonts w:ascii="Times" w:eastAsia="Times" w:hAnsi="Times" w:cs="Times"/>
                              </w:rPr>
                            </w:pPr>
                            <w:bookmarkStart w:id="0" w:name="_GoBack"/>
                            <w:r>
                              <w:rPr>
                                <w:rFonts w:ascii="CC Icons" w:hAnsi="CC Icons"/>
                                <w:sz w:val="38"/>
                                <w:szCs w:val="38"/>
                              </w:rPr>
                              <w:t>cba</w:t>
                            </w:r>
                          </w:p>
                          <w:p w:rsidR="002F1421" w:rsidRDefault="00530004">
                            <w:pPr>
                              <w:pStyle w:val="Kopf-undFuzeile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Dieses Material ist eine offene Bildungsressource und steht unter der Crea</w:t>
                            </w:r>
                            <w:r>
                              <w:rPr>
                                <w:rFonts w:ascii="Arial Unicode MS" w:hAnsi="Arial Unicode MS" w:hint="eastAsia"/>
                              </w:rPr>
                              <w:t>􏰂</w:t>
                            </w:r>
                            <w:r>
                              <w:t xml:space="preserve">tive-Commons-Lizenz </w:t>
                            </w:r>
                            <w:r>
                              <w:rPr>
                                <w:rFonts w:ascii="Arial Unicode MS" w:hAnsi="Arial Unicode MS"/>
                              </w:rPr>
                              <w:br/>
                            </w:r>
                            <w:r>
                              <w:t>„Namensnennung - W</w:t>
                            </w:r>
                            <w:r>
                              <w:t xml:space="preserve">eitergabe unter gleichen Bedingungen 4.0 International“. </w:t>
                            </w:r>
                            <w:r>
                              <w:rPr>
                                <w:rFonts w:ascii="Arial Unicode MS" w:hAnsi="Arial Unicode MS"/>
                              </w:rPr>
                              <w:br/>
                            </w:r>
                            <w:r>
                              <w:t xml:space="preserve">Um eine Kopie dieser Lizenz zu sehen, besuchen Sie </w:t>
                            </w:r>
                            <w:r>
                              <w:rPr>
                                <w:rFonts w:ascii="Arial Unicode MS" w:hAnsi="Arial Unicode MS" w:hint="eastAsia"/>
                              </w:rPr>
                              <w:t>􏰂</w:t>
                            </w:r>
                            <w:hyperlink r:id="rId8" w:history="1">
                              <w:r>
                                <w:rPr>
                                  <w:rStyle w:val="Hyperlink0"/>
                                </w:rPr>
                                <w:t>https://creativecommons.org/licenses/by-sa/4.0/</w:t>
                              </w:r>
                            </w:hyperlink>
                            <w:r>
                              <w:t>.</w:t>
                            </w:r>
                            <w:bookmarkEnd w:id="0"/>
                          </w:p>
                        </w:txbxContent>
                      </wps:txbx>
                      <wps:bodyPr wrap="square" lIns="0" tIns="0" rIns="0" bIns="0" numCol="1" anchor="b">
                        <a:noAutofit/>
                      </wps:bodyPr>
                    </wps:wsp>
                  </a:graphicData>
                </a:graphic>
              </wp:anchor>
            </w:drawing>
          </mc:Choice>
          <mc:Fallback>
            <w:pict>
              <v:shapetype id="_x0000_t202" coordsize="21600,21600" o:spt="202" path="m,l,21600r21600,l21600,xe">
                <v:stroke joinstyle="miter"/>
                <v:path gradientshapeok="t" o:connecttype="rect"/>
              </v:shapetype>
              <v:shape id="officeArt object" o:spid="_x0000_s1026" type="#_x0000_t202" style="position:absolute;left:0;text-align:left;margin-left:1.3pt;margin-top:31.25pt;width:453.2pt;height:68.85pt;z-index:251665408;visibility:visible;mso-wrap-style:square;mso-wrap-distance-left:12pt;mso-wrap-distance-top:12pt;mso-wrap-distance-right:12pt;mso-wrap-distance-bottom:12pt;mso-position-horizontal:absolute;mso-position-horizontal-relative:margin;mso-position-vertical:absolute;mso-position-vertical-relative:lin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" filled="f" stroked="f" strokeweight="1pt">
                <v:stroke miterlimit="4"/>
                <v:textbox inset="0,0,0,0">
                  <w:txbxContent>
                    <w:p w:rsidR="002F1421" w:rsidRDefault="005300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 w:lineRule="atLeast"/>
                        <w:jc w:val="center"/>
                        <w:rPr>
                          <w:rFonts w:ascii="Times" w:eastAsia="Times" w:hAnsi="Times" w:cs="Times"/>
                        </w:rPr>
                      </w:pPr>
                      <w:bookmarkStart w:id="1" w:name="_GoBack"/>
                      <w:r>
                        <w:rPr>
                          <w:rFonts w:ascii="CC Icons" w:hAnsi="CC Icons"/>
                          <w:sz w:val="38"/>
                          <w:szCs w:val="38"/>
                        </w:rPr>
                        <w:t>cba</w:t>
                      </w:r>
                    </w:p>
                    <w:p w:rsidR="002F1421" w:rsidRDefault="00530004">
                      <w:pPr>
                        <w:pStyle w:val="Kopf-undFuzeile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Dieses Material ist eine offene Bildungsressource und steht unter der Crea</w:t>
                      </w:r>
                      <w:r>
                        <w:rPr>
                          <w:rFonts w:ascii="Arial Unicode MS" w:hAnsi="Arial Unicode MS" w:hint="eastAsia"/>
                        </w:rPr>
                        <w:t>􏰂</w:t>
                      </w:r>
                      <w:r>
                        <w:t xml:space="preserve">tive-Commons-Lizenz </w:t>
                      </w:r>
                      <w:r>
                        <w:rPr>
                          <w:rFonts w:ascii="Arial Unicode MS" w:hAnsi="Arial Unicode MS"/>
                        </w:rPr>
                        <w:br/>
                      </w:r>
                      <w:r>
                        <w:t>„Namensnennung - W</w:t>
                      </w:r>
                      <w:r>
                        <w:t xml:space="preserve">eitergabe unter gleichen Bedingungen 4.0 International“. </w:t>
                      </w:r>
                      <w:r>
                        <w:rPr>
                          <w:rFonts w:ascii="Arial Unicode MS" w:hAnsi="Arial Unicode MS"/>
                        </w:rPr>
                        <w:br/>
                      </w:r>
                      <w:r>
                        <w:t xml:space="preserve">Um eine Kopie dieser Lizenz zu sehen, besuchen Sie </w:t>
                      </w:r>
                      <w:r>
                        <w:rPr>
                          <w:rFonts w:ascii="Arial Unicode MS" w:hAnsi="Arial Unicode MS" w:hint="eastAsia"/>
                        </w:rPr>
                        <w:t>􏰂</w:t>
                      </w:r>
                      <w:hyperlink r:id="rId9" w:history="1">
                        <w:r>
                          <w:rPr>
                            <w:rStyle w:val="Hyperlink0"/>
                          </w:rPr>
                          <w:t>https://creativecommons.org/licenses/by-sa/4.0/</w:t>
                        </w:r>
                      </w:hyperlink>
                      <w:r>
                        <w:t>.</w:t>
                      </w:r>
                      <w:bookmarkEnd w:id="1"/>
                    </w:p>
                  </w:txbxContent>
                </v:textbox>
                <w10:wrap type="topAndBottom" anchorx="margin" anchory="line"/>
              </v:shape>
            </w:pict>
          </mc:Fallback>
        </mc:AlternateContent>
      </w:r>
      <w:r>
        <w:t>Grundlagen dargestellt.</w:t>
      </w:r>
    </w:p>
    <w:p w:rsidR="002F1421" w:rsidRDefault="00530004">
      <w:pPr>
        <w:pStyle w:val="berschrift2"/>
      </w:pPr>
      <w:r>
        <w:lastRenderedPageBreak/>
        <w:t>Review-Guide</w:t>
      </w:r>
    </w:p>
    <w:p w:rsidR="002F1421" w:rsidRDefault="00530004">
      <w:r>
        <w:t>Der Review-Guide be</w:t>
      </w:r>
      <w:r>
        <w:t>steht aus fünf Schritten, die sich jeweils an einem Schwerpunkt des ACAT-Modells orientieren. Die Schritte müssen in der angegebenen Reihenfolge nacheinander durchgeführt werden.</w:t>
      </w:r>
    </w:p>
    <w:p w:rsidR="002F1421" w:rsidRDefault="00530004">
      <w:r>
        <w:t>Prinzipiell wird vom mathematischen Inhalt aus aufbauend untersucht, wie Schü</w:t>
      </w:r>
      <w:r>
        <w:t>lerinnen und Schüler mit der App arbeiten. Daraus wird abgeleitet, ob die App helfen kann, die Vermittlung des gewünschten Inhalts zu unterstützen. Anschließend können konkrete Unterrichtssituationen diskutiert werden, für die der App-Einsatz geeignet ist.</w:t>
      </w:r>
      <w:r>
        <w:t xml:space="preserve"> Aufgrund dieses Vorgehens kann es durchaus vorkommen, dass eine App für ganz spezifische Unterrichtszwecke hervorragend geeignet ist, für andere (trotz eines ähnlichen Themas) wiederum gar nicht. Der schrittweise Aufbau lenkt die Beurteilung einer App dir</w:t>
      </w:r>
      <w:r>
        <w:t>ekt zu den wesentlichen Fragestellungen. Dies kann auch dazu führen, dass die Beurteilung schon nach einigen Schritten abgebrochen werden kann, weil erkennbar ist, dass die App nicht für den gedachten Unterrichtseinsatz geeignet ist.</w:t>
      </w:r>
    </w:p>
    <w:p w:rsidR="002F1421" w:rsidRDefault="00530004">
      <w:r>
        <w:t>Der Review-Guide struk</w:t>
      </w:r>
      <w:r>
        <w:t>turiert damit den Entscheidungsprozess und macht ihn für Lehrerinnen und Lehrer nachvollziehbar. Für jeden Schritt sind die möglichen Quellen (also die Daten für die Beurteilung) aufgeführt.</w:t>
      </w:r>
      <w:r>
        <w:rPr>
          <w:noProof/>
        </w:rPr>
        <w:drawing>
          <wp:anchor distT="127000" distB="127000" distL="127000" distR="127000" simplePos="0" relativeHeight="251660288" behindDoc="0" locked="0" layoutInCell="1" allowOverlap="1">
            <wp:simplePos x="0" y="0"/>
            <wp:positionH relativeFrom="margin">
              <wp:posOffset>4834890</wp:posOffset>
            </wp:positionH>
            <wp:positionV relativeFrom="line">
              <wp:posOffset>510539</wp:posOffset>
            </wp:positionV>
            <wp:extent cx="914400" cy="812800"/>
            <wp:effectExtent l="0" t="0" r="0" b="0"/>
            <wp:wrapSquare wrapText="bothSides" distT="127000" distB="127000" distL="127000" distR="127000"/>
            <wp:docPr id="1073741827" name="officeArt object" descr="ACAT-Review-Step1"/>
            <wp:cNvGraphicFramePr/>
            <a:graphic xmlns:a="http://schemas.openxmlformats.org/drawingml/2006/main">
              <a:graphicData uri="http://schemas.openxmlformats.org/drawingml/2006/picture">
                <pic:pic xmlns:pic="http://schemas.openxmlformats.org/drawingml/2006/picture">
                  <pic:nvPicPr>
                    <pic:cNvPr id="1073741827" name="ACAT-Review-Step1" descr="ACAT-Review-Step1"/>
                    <pic:cNvPicPr>
                      <a:picLocks noChangeAspect="1"/>
                    </pic:cNvPicPr>
                  </pic:nvPicPr>
                  <pic:blipFill>
                    <a:blip r:embed="rId10">
                      <a:extLst/>
                    </a:blip>
                    <a:stretch>
                      <a:fillRect/>
                    </a:stretch>
                  </pic:blipFill>
                  <pic:spPr>
                    <a:xfrm>
                      <a:off x="0" y="0"/>
                      <a:ext cx="914400" cy="812800"/>
                    </a:xfrm>
                    <a:prstGeom prst="rect">
                      <a:avLst/>
                    </a:prstGeom>
                    <a:ln w="12700" cap="flat">
                      <a:noFill/>
                      <a:miter lim="400000"/>
                    </a:ln>
                    <a:effectLst/>
                  </pic:spPr>
                </pic:pic>
              </a:graphicData>
            </a:graphic>
          </wp:anchor>
        </w:drawing>
      </w:r>
    </w:p>
    <w:p w:rsidR="002F1421" w:rsidRDefault="00530004">
      <w:pPr>
        <w:pStyle w:val="berschrift2"/>
      </w:pPr>
      <w:r>
        <w:t xml:space="preserve">Schritt 1: Was ist das mathematische Objekt der App? </w:t>
      </w:r>
    </w:p>
    <w:p w:rsidR="002F1421" w:rsidRDefault="00530004">
      <w:r>
        <w:t>Identifizieren Sie zunächst, welches mathematische Objekt – welcher Begriff, welcher Inhalt, welches Thema – in dieser App behandelt wird.</w:t>
      </w:r>
    </w:p>
    <w:p w:rsidR="002F1421" w:rsidRDefault="00530004">
      <w:pPr>
        <w:rPr>
          <w:rFonts w:ascii="Times New Roman" w:eastAsia="Times New Roman" w:hAnsi="Times New Roman" w:cs="Times New Roman"/>
          <w:i/>
          <w:iCs/>
        </w:rPr>
      </w:pPr>
      <w:r>
        <w:t>Hierbei können durchaus mehrere mathematische Objekte möglich sein; dann sind auch mehrere Reviews für diese App nöti</w:t>
      </w:r>
      <w:r>
        <w:t>g, da jedes Objekt zu einer anderen Schwerpunktsetzung führt.</w:t>
      </w:r>
    </w:p>
    <w:p w:rsidR="002F1421" w:rsidRDefault="00530004">
      <w:pPr>
        <w:pStyle w:val="berschrift3"/>
      </w:pPr>
      <w:r>
        <w:t>Mögliche Quellen</w:t>
      </w:r>
    </w:p>
    <w:p w:rsidR="002F1421" w:rsidRDefault="00530004">
      <w:pPr>
        <w:numPr>
          <w:ilvl w:val="0"/>
          <w:numId w:val="2"/>
        </w:numPr>
      </w:pPr>
      <w:r>
        <w:t>App-Titel und offizielle Beschreibung der App</w:t>
      </w:r>
    </w:p>
    <w:p w:rsidR="002F1421" w:rsidRDefault="00530004">
      <w:pPr>
        <w:numPr>
          <w:ilvl w:val="0"/>
          <w:numId w:val="2"/>
        </w:numPr>
      </w:pPr>
      <w:r>
        <w:t>Zusatzmaterialien zur App (herunterladbare Arbeitsblätter, …)</w:t>
      </w:r>
    </w:p>
    <w:p w:rsidR="002F1421" w:rsidRDefault="00530004">
      <w:pPr>
        <w:numPr>
          <w:ilvl w:val="0"/>
          <w:numId w:val="2"/>
        </w:numPr>
      </w:pPr>
      <w:r>
        <w:t>Externe Referenzen (Empfehlungen durch Dritte, …)</w:t>
      </w:r>
    </w:p>
    <w:p w:rsidR="002F1421" w:rsidRDefault="00530004">
      <w:pPr>
        <w:numPr>
          <w:ilvl w:val="0"/>
          <w:numId w:val="2"/>
        </w:numPr>
      </w:pPr>
      <w:r>
        <w:t xml:space="preserve">Selbstständiges </w:t>
      </w:r>
      <w:r>
        <w:t>Ausprobieren der App</w:t>
      </w:r>
    </w:p>
    <w:p w:rsidR="002F1421" w:rsidRDefault="00530004">
      <w:pPr>
        <w:pStyle w:val="berschrift3"/>
      </w:pPr>
      <w:r>
        <w:t>Hintergrund</w:t>
      </w:r>
    </w:p>
    <w:p w:rsidR="002F1421" w:rsidRDefault="00530004">
      <w:pPr>
        <w:ind w:left="283"/>
      </w:pPr>
      <w:r>
        <w:t xml:space="preserve">Ein zentrales Prinzip der Tätigkeitstheorie ist die </w:t>
      </w:r>
      <w:r>
        <w:rPr>
          <w:rFonts w:ascii="Lato Bold" w:hAnsi="Lato Bold"/>
        </w:rPr>
        <w:t>Objektorientierung</w:t>
      </w:r>
      <w:r>
        <w:t>. Alle Tätigkeiten kristallisieren sich an Objekten: Ohne Objekt ist eine zielgerichtete Handlung eines Subjekts nicht möglich. Daher können Handlungen v</w:t>
      </w:r>
      <w:r>
        <w:t>on Schülerinnen und Schülern mit einer App nur dann bewertet werden, wenn Klarheit bezüglich des (mathematischen) Objekts besteht.</w:t>
      </w:r>
    </w:p>
    <w:p w:rsidR="002F1421" w:rsidRDefault="00530004">
      <w:pPr>
        <w:pStyle w:val="berschrift2"/>
      </w:pPr>
      <w:r>
        <w:lastRenderedPageBreak/>
        <w:t>Schritt 2: Wie interagieren Schülerinnen und Schüler mithilfe der App</w:t>
      </w:r>
      <w:r>
        <w:rPr>
          <w:noProof/>
        </w:rPr>
        <w:drawing>
          <wp:anchor distT="127000" distB="127000" distL="127000" distR="127000" simplePos="0" relativeHeight="251661312" behindDoc="0" locked="0" layoutInCell="1" allowOverlap="1">
            <wp:simplePos x="0" y="0"/>
            <wp:positionH relativeFrom="margin">
              <wp:posOffset>4903026</wp:posOffset>
            </wp:positionH>
            <wp:positionV relativeFrom="page">
              <wp:posOffset>975360</wp:posOffset>
            </wp:positionV>
            <wp:extent cx="914400" cy="812800"/>
            <wp:effectExtent l="0" t="0" r="0" b="0"/>
            <wp:wrapSquare wrapText="bothSides" distT="127000" distB="127000" distL="127000" distR="127000"/>
            <wp:docPr id="1073741828" name="officeArt object" descr="ACAT-Review-Step2"/>
            <wp:cNvGraphicFramePr/>
            <a:graphic xmlns:a="http://schemas.openxmlformats.org/drawingml/2006/main">
              <a:graphicData uri="http://schemas.openxmlformats.org/drawingml/2006/picture">
                <pic:pic xmlns:pic="http://schemas.openxmlformats.org/drawingml/2006/picture">
                  <pic:nvPicPr>
                    <pic:cNvPr id="1073741828" name="ACAT-Review-Step2" descr="ACAT-Review-Step2"/>
                    <pic:cNvPicPr>
                      <a:picLocks noChangeAspect="1"/>
                    </pic:cNvPicPr>
                  </pic:nvPicPr>
                  <pic:blipFill>
                    <a:blip r:embed="rId11">
                      <a:extLst/>
                    </a:blip>
                    <a:stretch>
                      <a:fillRect/>
                    </a:stretch>
                  </pic:blipFill>
                  <pic:spPr>
                    <a:xfrm>
                      <a:off x="0" y="0"/>
                      <a:ext cx="914400" cy="812800"/>
                    </a:xfrm>
                    <a:prstGeom prst="rect">
                      <a:avLst/>
                    </a:prstGeom>
                    <a:ln w="12700" cap="flat">
                      <a:noFill/>
                      <a:miter lim="400000"/>
                    </a:ln>
                    <a:effectLst/>
                  </pic:spPr>
                </pic:pic>
              </a:graphicData>
            </a:graphic>
          </wp:anchor>
        </w:drawing>
      </w:r>
      <w:r>
        <w:t xml:space="preserve"> mit dem mathematischen Objekt?</w:t>
      </w:r>
    </w:p>
    <w:p w:rsidR="002F1421" w:rsidRDefault="00530004">
      <w:r>
        <w:t>Dokumentieren Sie, welc</w:t>
      </w:r>
      <w:r>
        <w:t xml:space="preserve">he Interaktionsmöglichkeiten die App Schülerinnen und Schülern mit dem mathematischen Objekt anbietet. Dazu ist es ggf. sinnvoll, die Interaktionsrichtungen zwischen Subjekt und Artefakt sowie Artefakt und Objekt gesondert zu betrachten: Welche Handlungen </w:t>
      </w:r>
      <w:r>
        <w:t>sind in der App möglich? Wie repräsentiert die App das mathematische Objekt? Wie beeinflusst das Objekt das Verhalten der App? Welche Erfahrungen können Schülerinnen und Schüler dadurch machen?</w:t>
      </w:r>
    </w:p>
    <w:p w:rsidR="002F1421" w:rsidRDefault="00530004">
      <w:pPr>
        <w:pStyle w:val="berschrift3"/>
      </w:pPr>
      <w:r>
        <w:t>Mögliche Quellen</w:t>
      </w:r>
    </w:p>
    <w:p w:rsidR="002F1421" w:rsidRDefault="00530004">
      <w:pPr>
        <w:numPr>
          <w:ilvl w:val="0"/>
          <w:numId w:val="2"/>
        </w:numPr>
      </w:pPr>
      <w:r>
        <w:t>Eigene, systematische Nutzung der App</w:t>
      </w:r>
    </w:p>
    <w:p w:rsidR="002F1421" w:rsidRDefault="00530004">
      <w:pPr>
        <w:pStyle w:val="berschrift3"/>
      </w:pPr>
      <w:r>
        <w:t>Hinterg</w:t>
      </w:r>
      <w:r>
        <w:t>rund</w:t>
      </w:r>
    </w:p>
    <w:p w:rsidR="002F1421" w:rsidRDefault="00530004">
      <w:pPr>
        <w:ind w:left="283"/>
      </w:pPr>
      <w:r>
        <w:t>Im ACAT-Designprozess einer App würde nach der Identifikation des mathematischen Objekts an dieser Stelle das Aufstellen der Regeln folgen, die das Design der App bestimmen. Da wir aber eine existierende App untersuchen, wird zunächst die Nutzerintera</w:t>
      </w:r>
      <w:r>
        <w:t>ktion betrachtet.</w:t>
      </w:r>
    </w:p>
    <w:p w:rsidR="002F1421" w:rsidRDefault="00530004">
      <w:pPr>
        <w:ind w:left="283"/>
      </w:pPr>
      <w:r>
        <w:t xml:space="preserve">Das Betrachten von </w:t>
      </w:r>
      <w:r>
        <w:rPr>
          <w:rFonts w:ascii="Lato Bold" w:hAnsi="Lato Bold"/>
        </w:rPr>
        <w:t xml:space="preserve">Internalisierungs- und Externalisierungsprozessen </w:t>
      </w:r>
      <w:r>
        <w:t xml:space="preserve">ist ein weiteres tätigkeitstheoretisches Prinzip. Externe Handlungen des Subjekts (zum Beispiel die </w:t>
      </w:r>
      <w:r>
        <w:rPr>
          <w:i/>
          <w:iCs/>
        </w:rPr>
        <w:t>pinch-to-zoom</w:t>
      </w:r>
      <w:r>
        <w:t xml:space="preserve">-Geste zum Vergrößern oder Verkleinern einer Landkarte) </w:t>
      </w:r>
      <w:r>
        <w:t>spiegeln interne Handlungen (hier: zentrische Streckungen), die das Verständnis repräsentieren, wieder. Ebenso führen externe Handlungen auch zum Aufbau interner Repräsentationen (hier: Veränderung der Fingerposition zu Beginn der Handlung ändert das Strec</w:t>
      </w:r>
      <w:r>
        <w:t>kungszentrum). Um diese Nutzerinteraktion besser zu verstehen und in Bezug auf das mathematische Objekt zu sehen, ist es hilfreich, den Prozess zwischen Subjekt und Objekt am Artefakt (der App) aufzutrennen (Ladel &amp; Kortenkamp, 2014a). Die einzelnen Teilfr</w:t>
      </w:r>
      <w:r>
        <w:t>agen folgen damit einem Kreislauf zwischen Subjekt, Artefakt, Objekt und wieder zurück:</w:t>
      </w:r>
    </w:p>
    <w:p w:rsidR="002F1421" w:rsidRDefault="00530004">
      <w:pPr>
        <w:tabs>
          <w:tab w:val="clear" w:pos="850"/>
          <w:tab w:val="left" w:pos="1134"/>
        </w:tabs>
        <w:ind w:left="283"/>
      </w:pPr>
      <w:r>
        <w:t>S → A:</w:t>
      </w:r>
      <w:r>
        <w:tab/>
      </w:r>
      <w:r>
        <w:t>Welche Handlungen sind in der App möglich?</w:t>
      </w:r>
    </w:p>
    <w:p w:rsidR="002F1421" w:rsidRDefault="00530004">
      <w:pPr>
        <w:tabs>
          <w:tab w:val="clear" w:pos="850"/>
          <w:tab w:val="left" w:pos="1134"/>
        </w:tabs>
        <w:ind w:left="283"/>
      </w:pPr>
      <w:r>
        <w:t xml:space="preserve">A → O: </w:t>
      </w:r>
      <w:r>
        <w:tab/>
      </w:r>
      <w:r>
        <w:t>Wie repräsentiert die App das mathematische Objekt?</w:t>
      </w:r>
    </w:p>
    <w:p w:rsidR="002F1421" w:rsidRDefault="00530004">
      <w:pPr>
        <w:tabs>
          <w:tab w:val="clear" w:pos="850"/>
          <w:tab w:val="left" w:pos="1134"/>
        </w:tabs>
        <w:ind w:left="283"/>
      </w:pPr>
      <w:r>
        <w:t xml:space="preserve">O → A: </w:t>
      </w:r>
      <w:r>
        <w:tab/>
      </w:r>
      <w:r>
        <w:t>Wie beeinflusst das Objekt das Verhalten der App?</w:t>
      </w:r>
    </w:p>
    <w:p w:rsidR="002F1421" w:rsidRDefault="00530004">
      <w:pPr>
        <w:tabs>
          <w:tab w:val="clear" w:pos="850"/>
          <w:tab w:val="left" w:pos="1134"/>
        </w:tabs>
        <w:ind w:left="283"/>
      </w:pPr>
      <w:r>
        <w:t xml:space="preserve">A → S: </w:t>
      </w:r>
      <w:r>
        <w:tab/>
      </w:r>
      <w:r>
        <w:t>Welche Erfahrungen können Schülerinnen und Schüler dadurch machen?</w:t>
      </w:r>
    </w:p>
    <w:p w:rsidR="002F1421" w:rsidRDefault="00530004">
      <w:pPr>
        <w:pStyle w:val="berschrift2"/>
      </w:pPr>
      <w:r>
        <w:rPr>
          <w:rFonts w:ascii="Arial Unicode MS" w:hAnsi="Arial Unicode MS"/>
        </w:rPr>
        <w:br w:type="page"/>
      </w:r>
    </w:p>
    <w:p w:rsidR="002F1421" w:rsidRDefault="00530004">
      <w:pPr>
        <w:pStyle w:val="berschrift2"/>
      </w:pPr>
      <w:r>
        <w:lastRenderedPageBreak/>
        <w:t>Schritt 3: Wie entwickelt sich die Interaktion?</w:t>
      </w:r>
      <w:r>
        <w:rPr>
          <w:noProof/>
        </w:rPr>
        <w:drawing>
          <wp:anchor distT="127000" distB="127000" distL="127000" distR="127000" simplePos="0" relativeHeight="251662336" behindDoc="0" locked="0" layoutInCell="1" allowOverlap="1">
            <wp:simplePos x="0" y="0"/>
            <wp:positionH relativeFrom="margin">
              <wp:posOffset>4800600</wp:posOffset>
            </wp:positionH>
            <wp:positionV relativeFrom="line">
              <wp:posOffset>167027</wp:posOffset>
            </wp:positionV>
            <wp:extent cx="914400" cy="812800"/>
            <wp:effectExtent l="0" t="0" r="0" b="0"/>
            <wp:wrapSquare wrapText="bothSides" distT="127000" distB="127000" distL="127000" distR="127000"/>
            <wp:docPr id="1073741829" name="officeArt object" descr="ACAT-Review-Step3"/>
            <wp:cNvGraphicFramePr/>
            <a:graphic xmlns:a="http://schemas.openxmlformats.org/drawingml/2006/main">
              <a:graphicData uri="http://schemas.openxmlformats.org/drawingml/2006/picture">
                <pic:pic xmlns:pic="http://schemas.openxmlformats.org/drawingml/2006/picture">
                  <pic:nvPicPr>
                    <pic:cNvPr id="1073741829" name="ACAT-Review-Step3" descr="ACAT-Review-Step3"/>
                    <pic:cNvPicPr>
                      <a:picLocks noChangeAspect="1"/>
                    </pic:cNvPicPr>
                  </pic:nvPicPr>
                  <pic:blipFill>
                    <a:blip r:embed="rId12">
                      <a:extLst/>
                    </a:blip>
                    <a:stretch>
                      <a:fillRect/>
                    </a:stretch>
                  </pic:blipFill>
                  <pic:spPr>
                    <a:xfrm>
                      <a:off x="0" y="0"/>
                      <a:ext cx="914400" cy="812800"/>
                    </a:xfrm>
                    <a:prstGeom prst="rect">
                      <a:avLst/>
                    </a:prstGeom>
                    <a:ln w="12700" cap="flat">
                      <a:noFill/>
                      <a:miter lim="400000"/>
                    </a:ln>
                    <a:effectLst/>
                  </pic:spPr>
                </pic:pic>
              </a:graphicData>
            </a:graphic>
          </wp:anchor>
        </w:drawing>
      </w:r>
      <w:r>
        <w:t xml:space="preserve"> </w:t>
      </w:r>
    </w:p>
    <w:p w:rsidR="002F1421" w:rsidRDefault="00530004">
      <w:r>
        <w:t xml:space="preserve">Strukturieren Sie die möglichen Interaktionen, indem Sie sie in Tätigkeiten, Handlungen und Operationen aufschlüsseln: </w:t>
      </w:r>
    </w:p>
    <w:p w:rsidR="002F1421" w:rsidRDefault="00530004">
      <w:pPr>
        <w:numPr>
          <w:ilvl w:val="0"/>
          <w:numId w:val="3"/>
        </w:numPr>
      </w:pPr>
      <w:r>
        <w:t>Tätigkeit</w:t>
      </w:r>
      <w:r>
        <w:t>en sind übergeordnete, an Motiven orientierte Interaktionen (z. B. das Lesen einer Landkarte)</w:t>
      </w:r>
    </w:p>
    <w:p w:rsidR="002F1421" w:rsidRDefault="00530004">
      <w:pPr>
        <w:numPr>
          <w:ilvl w:val="0"/>
          <w:numId w:val="3"/>
        </w:numPr>
      </w:pPr>
      <w:r>
        <w:t>Handlungen sind zielgerichtete, individuelle Interaktionen (z. B. das Vergrößern eines Kartenausschnitts um diesen detaillierter betrachten zu können)</w:t>
      </w:r>
    </w:p>
    <w:p w:rsidR="002F1421" w:rsidRDefault="00530004">
      <w:pPr>
        <w:numPr>
          <w:ilvl w:val="0"/>
          <w:numId w:val="4"/>
        </w:numPr>
      </w:pPr>
      <w:r>
        <w:t>Operationen</w:t>
      </w:r>
      <w:r>
        <w:t xml:space="preserve"> sind verinnerlichte Interaktionen, die kein weiteres Nachdenken erfordern und ggf. instrumentellen Zwängen unterworfen sind (z. B. das Ausführen der </w:t>
      </w:r>
      <w:r>
        <w:rPr>
          <w:i/>
          <w:iCs/>
        </w:rPr>
        <w:t>pinch-to-zoom</w:t>
      </w:r>
      <w:r>
        <w:t>-Geste oder das Verschieben der Karte mit dem Finger)</w:t>
      </w:r>
    </w:p>
    <w:p w:rsidR="002F1421" w:rsidRDefault="00530004">
      <w:r>
        <w:t>Stellen Sie weiterhin dar, wie sich die</w:t>
      </w:r>
      <w:r>
        <w:t>se Zuordnung während der Nutzung der App verschiebt. So können z. B. im Laufe des Lernprozesses bestimmte Handlungen zu Operationen werden und daraus neue Handlungsmöglichkeiten resultieren.</w:t>
      </w:r>
    </w:p>
    <w:p w:rsidR="002F1421" w:rsidRDefault="00530004">
      <w:pPr>
        <w:pStyle w:val="berschrift3"/>
      </w:pPr>
      <w:r>
        <w:t>Mögliche Quellen</w:t>
      </w:r>
    </w:p>
    <w:p w:rsidR="002F1421" w:rsidRDefault="00530004">
      <w:pPr>
        <w:numPr>
          <w:ilvl w:val="0"/>
          <w:numId w:val="2"/>
        </w:numPr>
      </w:pPr>
      <w:r>
        <w:t xml:space="preserve">Hypothetische Diskussionen möglicher </w:t>
      </w:r>
      <w:r>
        <w:t>Entwicklungen</w:t>
      </w:r>
    </w:p>
    <w:p w:rsidR="002F1421" w:rsidRDefault="00530004">
      <w:pPr>
        <w:numPr>
          <w:ilvl w:val="0"/>
          <w:numId w:val="2"/>
        </w:numPr>
      </w:pPr>
      <w:r>
        <w:t>Empirische Tests</w:t>
      </w:r>
    </w:p>
    <w:p w:rsidR="002F1421" w:rsidRDefault="00530004">
      <w:pPr>
        <w:pStyle w:val="berschrift3"/>
      </w:pPr>
      <w:r>
        <w:t>Hintergrund</w:t>
      </w:r>
    </w:p>
    <w:p w:rsidR="002F1421" w:rsidRDefault="00530004">
      <w:r>
        <w:t xml:space="preserve">An dieser Stelle soll ein spezifischerer Blick auf die </w:t>
      </w:r>
      <w:r>
        <w:rPr>
          <w:rFonts w:ascii="Lato Bold" w:hAnsi="Lato Bold"/>
        </w:rPr>
        <w:t>Hierarchie</w:t>
      </w:r>
      <w:r>
        <w:t xml:space="preserve"> der Tätigkeiten, Handlungen und Operationen als weiteres tätigkeitstheoretisches Prinzip im Vermittlungsprozess erfolgen. Daraus können auch Schlü</w:t>
      </w:r>
      <w:r>
        <w:t xml:space="preserve">sse auf die mögliche </w:t>
      </w:r>
      <w:r>
        <w:rPr>
          <w:rFonts w:ascii="Lato Bold" w:hAnsi="Lato Bold"/>
        </w:rPr>
        <w:t>Entwicklung</w:t>
      </w:r>
      <w:r>
        <w:t xml:space="preserve"> des Lernens der Schülerinnen und Schüler gezogen werden. In einem erfolgreichen Lernprozess verschieben sich insbesondere Handlungen zu Operationen, um darauf neue, komplexere Handlungen aufbauen zu können.</w:t>
      </w:r>
    </w:p>
    <w:p w:rsidR="002F1421" w:rsidRDefault="00530004">
      <w:pPr>
        <w:pStyle w:val="berschrift2"/>
      </w:pPr>
      <w:r>
        <w:t>Schritt 4: Ist d</w:t>
      </w:r>
      <w:r>
        <w:t>ie App für die Vermittlung des mathematischen Objekts geeignet?</w:t>
      </w:r>
      <w:r>
        <w:rPr>
          <w:noProof/>
        </w:rPr>
        <w:drawing>
          <wp:anchor distT="127000" distB="127000" distL="127000" distR="127000" simplePos="0" relativeHeight="251663360" behindDoc="0" locked="0" layoutInCell="1" allowOverlap="1">
            <wp:simplePos x="0" y="0"/>
            <wp:positionH relativeFrom="margin">
              <wp:posOffset>4800600</wp:posOffset>
            </wp:positionH>
            <wp:positionV relativeFrom="line">
              <wp:posOffset>526157</wp:posOffset>
            </wp:positionV>
            <wp:extent cx="914400" cy="824231"/>
            <wp:effectExtent l="0" t="0" r="0" b="0"/>
            <wp:wrapSquare wrapText="bothSides" distT="127000" distB="127000" distL="127000" distR="127000"/>
            <wp:docPr id="1073741830" name="officeArt object" descr="ACAT-Review-Step4"/>
            <wp:cNvGraphicFramePr/>
            <a:graphic xmlns:a="http://schemas.openxmlformats.org/drawingml/2006/main">
              <a:graphicData uri="http://schemas.openxmlformats.org/drawingml/2006/picture">
                <pic:pic xmlns:pic="http://schemas.openxmlformats.org/drawingml/2006/picture">
                  <pic:nvPicPr>
                    <pic:cNvPr id="1073741830" name="ACAT-Review-Step4" descr="ACAT-Review-Step4"/>
                    <pic:cNvPicPr>
                      <a:picLocks noChangeAspect="1"/>
                    </pic:cNvPicPr>
                  </pic:nvPicPr>
                  <pic:blipFill>
                    <a:blip r:embed="rId13">
                      <a:extLst/>
                    </a:blip>
                    <a:stretch>
                      <a:fillRect/>
                    </a:stretch>
                  </pic:blipFill>
                  <pic:spPr>
                    <a:xfrm>
                      <a:off x="0" y="0"/>
                      <a:ext cx="914400" cy="824231"/>
                    </a:xfrm>
                    <a:prstGeom prst="rect">
                      <a:avLst/>
                    </a:prstGeom>
                    <a:ln w="12700" cap="flat">
                      <a:noFill/>
                      <a:miter lim="400000"/>
                    </a:ln>
                    <a:effectLst/>
                  </pic:spPr>
                </pic:pic>
              </a:graphicData>
            </a:graphic>
          </wp:anchor>
        </w:drawing>
      </w:r>
    </w:p>
    <w:p w:rsidR="002F1421" w:rsidRDefault="00530004">
      <w:r>
        <w:t>Vergleichen Sie die Realisierung der App für dieses spezielle mathematische Objekt mit den Erkenntnissen aus der Fachdidaktik, Fachwissenschaft und Psychologie. Unterstützen die in Frage 2 un</w:t>
      </w:r>
      <w:r>
        <w:t>d 3 analysierten Interaktionen die aus Sicht der Mathematik(-didaktik) erwünschten oder benötigten Vorstellungen, Erfahrungen und Kompetenzen?</w:t>
      </w:r>
    </w:p>
    <w:p w:rsidR="002F1421" w:rsidRDefault="00530004">
      <w:pPr>
        <w:pStyle w:val="berschrift3"/>
      </w:pPr>
      <w:r>
        <w:t>Mögliche Quellen</w:t>
      </w:r>
    </w:p>
    <w:p w:rsidR="002F1421" w:rsidRDefault="00530004">
      <w:pPr>
        <w:numPr>
          <w:ilvl w:val="0"/>
          <w:numId w:val="2"/>
        </w:numPr>
      </w:pPr>
      <w:r>
        <w:t>Synthese der vorherigen Diskussionen</w:t>
      </w:r>
    </w:p>
    <w:p w:rsidR="002F1421" w:rsidRDefault="00530004">
      <w:pPr>
        <w:numPr>
          <w:ilvl w:val="0"/>
          <w:numId w:val="2"/>
        </w:numPr>
      </w:pPr>
      <w:r>
        <w:t>Wissenschaftliche Referenzen und Veröffentlichungen</w:t>
      </w:r>
    </w:p>
    <w:p w:rsidR="002F1421" w:rsidRDefault="00530004">
      <w:pPr>
        <w:pStyle w:val="berschrift3"/>
      </w:pPr>
      <w:r>
        <w:lastRenderedPageBreak/>
        <w:t>Hinterg</w:t>
      </w:r>
      <w:r>
        <w:t>rund</w:t>
      </w:r>
    </w:p>
    <w:p w:rsidR="002F1421" w:rsidRDefault="00530004">
      <w:pPr>
        <w:ind w:left="283"/>
      </w:pPr>
      <w:r>
        <w:t>Das Design einer App orientiert sich im ACAT-Modell an Regeln (die wiederum aus mathematikdidaktischen Überlegungen, allgemeinem Multimediadesign, usw. stammen). Dadurch soll sichergestellt werden, dass die App die Lernprozesse tatsächlich unterstützt</w:t>
      </w:r>
      <w:r>
        <w:t xml:space="preserve"> und man mit ihr die gewünschten mathematischen Inhalte lernen oder lehren kann.</w:t>
      </w:r>
    </w:p>
    <w:p w:rsidR="002F1421" w:rsidRDefault="00530004">
      <w:pPr>
        <w:pStyle w:val="berschrift2"/>
      </w:pPr>
      <w:r>
        <w:t>Schritt 5: Wie kann die App in der Klassensituation verwendet werden?</w:t>
      </w:r>
      <w:r>
        <w:rPr>
          <w:noProof/>
        </w:rPr>
        <w:drawing>
          <wp:anchor distT="127000" distB="127000" distL="127000" distR="127000" simplePos="0" relativeHeight="251664384" behindDoc="0" locked="0" layoutInCell="1" allowOverlap="1">
            <wp:simplePos x="0" y="0"/>
            <wp:positionH relativeFrom="margin">
              <wp:posOffset>4834890</wp:posOffset>
            </wp:positionH>
            <wp:positionV relativeFrom="line">
              <wp:posOffset>426916</wp:posOffset>
            </wp:positionV>
            <wp:extent cx="914400" cy="824231"/>
            <wp:effectExtent l="0" t="0" r="0" b="0"/>
            <wp:wrapSquare wrapText="bothSides" distT="127000" distB="127000" distL="127000" distR="127000"/>
            <wp:docPr id="1073741831" name="officeArt object" descr="ACAT-Review-Step5"/>
            <wp:cNvGraphicFramePr/>
            <a:graphic xmlns:a="http://schemas.openxmlformats.org/drawingml/2006/main">
              <a:graphicData uri="http://schemas.openxmlformats.org/drawingml/2006/picture">
                <pic:pic xmlns:pic="http://schemas.openxmlformats.org/drawingml/2006/picture">
                  <pic:nvPicPr>
                    <pic:cNvPr id="1073741831" name="ACAT-Review-Step5" descr="ACAT-Review-Step5"/>
                    <pic:cNvPicPr>
                      <a:picLocks noChangeAspect="1"/>
                    </pic:cNvPicPr>
                  </pic:nvPicPr>
                  <pic:blipFill>
                    <a:blip r:embed="rId14">
                      <a:extLst/>
                    </a:blip>
                    <a:stretch>
                      <a:fillRect/>
                    </a:stretch>
                  </pic:blipFill>
                  <pic:spPr>
                    <a:xfrm>
                      <a:off x="0" y="0"/>
                      <a:ext cx="914400" cy="824231"/>
                    </a:xfrm>
                    <a:prstGeom prst="rect">
                      <a:avLst/>
                    </a:prstGeom>
                    <a:ln w="12700" cap="flat">
                      <a:noFill/>
                      <a:miter lim="400000"/>
                    </a:ln>
                    <a:effectLst/>
                  </pic:spPr>
                </pic:pic>
              </a:graphicData>
            </a:graphic>
          </wp:anchor>
        </w:drawing>
      </w:r>
      <w:r>
        <w:t xml:space="preserve"> </w:t>
      </w:r>
    </w:p>
    <w:p w:rsidR="002F1421" w:rsidRDefault="00530004">
      <w:r>
        <w:t xml:space="preserve">Stellen Sie Möglichkeiten dar, wie der Einsatz der App im Unterricht konkret aussehen kann. Sie können </w:t>
      </w:r>
      <w:r>
        <w:t>sich dabei an folgenden Fragen orientieren:</w:t>
      </w:r>
    </w:p>
    <w:p w:rsidR="002F1421" w:rsidRDefault="00530004">
      <w:pPr>
        <w:numPr>
          <w:ilvl w:val="0"/>
          <w:numId w:val="3"/>
        </w:numPr>
      </w:pPr>
      <w:r>
        <w:t>Ist die App für individuelle Arbeit, Partnerarbeit oder Kleingruppenarbeit geeignet?</w:t>
      </w:r>
    </w:p>
    <w:p w:rsidR="002F1421" w:rsidRDefault="00530004">
      <w:pPr>
        <w:numPr>
          <w:ilvl w:val="0"/>
          <w:numId w:val="3"/>
        </w:numPr>
      </w:pPr>
      <w:r>
        <w:t>Was sind mögliche Impulse und Aufgabenstellungen, die Sie als Lehrerin oder Lehrer geben können?</w:t>
      </w:r>
    </w:p>
    <w:p w:rsidR="002F1421" w:rsidRDefault="00530004">
      <w:pPr>
        <w:numPr>
          <w:ilvl w:val="0"/>
          <w:numId w:val="3"/>
        </w:numPr>
      </w:pPr>
      <w:r>
        <w:t>Welche Differenzierungsmaßnahm</w:t>
      </w:r>
      <w:r>
        <w:t>en und verschiedenen Schwierigkeitsgrade sind möglich?</w:t>
      </w:r>
    </w:p>
    <w:p w:rsidR="002F1421" w:rsidRDefault="00530004">
      <w:pPr>
        <w:numPr>
          <w:ilvl w:val="0"/>
          <w:numId w:val="3"/>
        </w:numPr>
      </w:pPr>
      <w:r>
        <w:t>Handelt es sich um eine Übungs-App oder dient sie zur Einführung neuer Lerninhalte und dem Aufbau von Grundvorstellungen?</w:t>
      </w:r>
    </w:p>
    <w:p w:rsidR="002F1421" w:rsidRDefault="00530004">
      <w:pPr>
        <w:numPr>
          <w:ilvl w:val="0"/>
          <w:numId w:val="4"/>
        </w:numPr>
      </w:pPr>
      <w:r>
        <w:t xml:space="preserve">Folgt die App eher einem instruktiven (z. B. </w:t>
      </w:r>
      <w:r>
        <w:rPr>
          <w:i/>
          <w:iCs/>
        </w:rPr>
        <w:t>drill-and-practice</w:t>
      </w:r>
      <w:r>
        <w:t>) oder einem kon</w:t>
      </w:r>
      <w:r>
        <w:t xml:space="preserve">struktiven (z. B. </w:t>
      </w:r>
      <w:r>
        <w:rPr>
          <w:i/>
          <w:iCs/>
        </w:rPr>
        <w:t>entdeckendes Lernen</w:t>
      </w:r>
      <w:r>
        <w:t>) Paradigma?</w:t>
      </w:r>
    </w:p>
    <w:p w:rsidR="002F1421" w:rsidRDefault="00530004">
      <w:pPr>
        <w:numPr>
          <w:ilvl w:val="0"/>
          <w:numId w:val="3"/>
        </w:numPr>
      </w:pPr>
      <w:r>
        <w:t xml:space="preserve">Welche Voraussetzungen/Kompetenzen werden an die Schülerinnen und Schüler für die App-Nutzung gestellt? </w:t>
      </w:r>
    </w:p>
    <w:p w:rsidR="002F1421" w:rsidRDefault="00530004">
      <w:pPr>
        <w:pStyle w:val="berschrift3"/>
      </w:pPr>
      <w:r>
        <w:t>Mögliche Quellen</w:t>
      </w:r>
    </w:p>
    <w:p w:rsidR="002F1421" w:rsidRDefault="00530004">
      <w:pPr>
        <w:numPr>
          <w:ilvl w:val="0"/>
          <w:numId w:val="2"/>
        </w:numPr>
      </w:pPr>
      <w:r>
        <w:t>Materialien für Lehrerinnen und Lehrer</w:t>
      </w:r>
    </w:p>
    <w:p w:rsidR="002F1421" w:rsidRDefault="00530004">
      <w:pPr>
        <w:numPr>
          <w:ilvl w:val="0"/>
          <w:numId w:val="2"/>
        </w:numPr>
      </w:pPr>
      <w:r>
        <w:t>Versuchsdurchführungen im Unterricht</w:t>
      </w:r>
    </w:p>
    <w:p w:rsidR="002F1421" w:rsidRDefault="00530004">
      <w:pPr>
        <w:numPr>
          <w:ilvl w:val="0"/>
          <w:numId w:val="2"/>
        </w:numPr>
      </w:pPr>
      <w:r>
        <w:t>Fantasie</w:t>
      </w:r>
    </w:p>
    <w:p w:rsidR="002F1421" w:rsidRDefault="00530004">
      <w:pPr>
        <w:pStyle w:val="berschrift3"/>
      </w:pPr>
      <w:r>
        <w:t>Hintergrund</w:t>
      </w:r>
    </w:p>
    <w:p w:rsidR="002F1421" w:rsidRDefault="00530004">
      <w:pPr>
        <w:ind w:left="283"/>
      </w:pPr>
      <w:r>
        <w:t xml:space="preserve">Im Sinne der Tätigkeitstheorie ist Lernen niemals eine rein individuelle Tätigkeit eines Schülers oder einer Schülerin, sondern geschieht immer im gesellschaftlichen und sozialen Kontext, in welchem </w:t>
      </w:r>
      <w:r>
        <w:rPr>
          <w:rFonts w:ascii="Times New Roman" w:hAnsi="Times New Roman"/>
          <w:i/>
          <w:iCs/>
        </w:rPr>
        <w:t>gemeinsam</w:t>
      </w:r>
      <w:r>
        <w:t xml:space="preserve"> am Lerninhalt gearbeitet wird: „Im</w:t>
      </w:r>
      <w:r>
        <w:t xml:space="preserve"> Unterricht agiert immer ein pädagogisches Gesamtsubjekt“ (Giest &amp; Lompscher, 2004).</w:t>
      </w:r>
    </w:p>
    <w:p w:rsidR="002F1421" w:rsidRDefault="00530004">
      <w:pPr>
        <w:pStyle w:val="berschrift2"/>
        <w:rPr>
          <w:lang w:val="en-US"/>
        </w:rPr>
      </w:pPr>
      <w:r>
        <w:rPr>
          <w:lang w:val="en-US"/>
        </w:rPr>
        <w:lastRenderedPageBreak/>
        <w:t>Literatur</w:t>
      </w:r>
    </w:p>
    <w:p w:rsidR="002F1421" w:rsidRDefault="00530004">
      <w:pPr>
        <w:pStyle w:val="LiteraturverzeichnisPriMaMedien"/>
      </w:pPr>
      <w:r>
        <w:t xml:space="preserve">Giest, Hartmut und Joachim Lompscher (2004). </w:t>
      </w:r>
      <w:r>
        <w:rPr>
          <w:i/>
          <w:iCs/>
        </w:rPr>
        <w:t>Tätigkeitstheoretische Überlegungen zu einer neuen Lernkultur</w:t>
      </w:r>
      <w:r>
        <w:t>. In: Sitzungsberichte der Leibniz-Sozietät 72, S. 101–</w:t>
      </w:r>
      <w:r>
        <w:t>123.</w:t>
      </w:r>
    </w:p>
    <w:p w:rsidR="002F1421" w:rsidRDefault="00530004">
      <w:pPr>
        <w:pStyle w:val="LiteraturverzeichnisPriMaMedien"/>
      </w:pPr>
      <w:bookmarkStart w:id="2" w:name="OLE_LINK4"/>
      <w:r>
        <w:t>Highfield, K. &amp; Goodwin, K. (2013)</w:t>
      </w:r>
      <w:bookmarkEnd w:id="2"/>
      <w:r>
        <w:t xml:space="preserve">. </w:t>
      </w:r>
      <w:r>
        <w:rPr>
          <w:i/>
          <w:iCs/>
        </w:rPr>
        <w:t>Apps for mathematics learning: A review of ‘Educational’ Apps from the iTunes App Store.</w:t>
      </w:r>
      <w:r>
        <w:t xml:space="preserve"> Paper presented at the Mathematics education: Yesterday, today and tomorrow (Proceedings of the 36th annual conference of the </w:t>
      </w:r>
      <w:r>
        <w:t>Mathematics Education Research Group of Australasia), Melbourne, VIC.</w:t>
      </w:r>
    </w:p>
    <w:p w:rsidR="002F1421" w:rsidRDefault="00530004">
      <w:pPr>
        <w:pStyle w:val="LiteraturverzeichnisPriMaMedien"/>
      </w:pPr>
      <w:r>
        <w:t xml:space="preserve">Kaptelinin, Victor (2014). Activity Theory. In: </w:t>
      </w:r>
      <w:r>
        <w:rPr>
          <w:i/>
          <w:iCs/>
        </w:rPr>
        <w:t>The Encyclopedia of Human-Computer Interaction.</w:t>
      </w:r>
      <w:r>
        <w:t xml:space="preserve"> Hrsg. von Armin Zahirovic u. a. 2. Aufl. The Interaction Design Foundation.</w:t>
      </w:r>
    </w:p>
    <w:p w:rsidR="002F1421" w:rsidRDefault="00530004">
      <w:pPr>
        <w:pStyle w:val="LiteraturverzeichnisPriMaMedien"/>
      </w:pPr>
      <w:r>
        <w:t xml:space="preserve">Ladel, Silke </w:t>
      </w:r>
      <w:r>
        <w:t xml:space="preserve">und Ulrich Kortenkamp (2014a). Tätigkeitsorientiert zu einem flexiblen Verständnis von Stellenwerten – Ein Ansatz aus Sicht der Artefact-Centric Activity Theory. In: </w:t>
      </w:r>
      <w:r>
        <w:rPr>
          <w:i/>
          <w:iCs/>
        </w:rPr>
        <w:t>Von Audiopodcast bis Zahlensinn.</w:t>
      </w:r>
      <w:r>
        <w:t xml:space="preserve"> Hrsg. von Silke Ladel und Christoph Schreiber. Bd. 2. Ler</w:t>
      </w:r>
      <w:r>
        <w:t>nen, Lehren und Forschen mit digitalen Medien. Münster: WTM Verlag, S. 151–176.</w:t>
      </w:r>
    </w:p>
    <w:p w:rsidR="002F1421" w:rsidRDefault="00530004">
      <w:pPr>
        <w:pStyle w:val="LiteraturverzeichnisPriMaMedien"/>
      </w:pPr>
      <w:r>
        <w:t xml:space="preserve">Ladel, S. &amp; Kortenkamp, U. (2014b). </w:t>
      </w:r>
      <w:r>
        <w:rPr>
          <w:lang w:val="en-US"/>
        </w:rPr>
        <w:t>Number Concepts – Processes of Internalization and Externalization by the Use of Multi-Touch Technology</w:t>
      </w:r>
    </w:p>
    <w:p w:rsidR="002F1421" w:rsidRDefault="00530004">
      <w:pPr>
        <w:pStyle w:val="LiteraturverzeichnisPriMaMedien"/>
      </w:pPr>
      <w:r>
        <w:t>Wittmann, E.C. (1995). Mathematics E</w:t>
      </w:r>
      <w:r>
        <w:t xml:space="preserve">ducation as a ‘Design Science’. In: </w:t>
      </w:r>
      <w:r>
        <w:rPr>
          <w:i/>
          <w:iCs/>
        </w:rPr>
        <w:t xml:space="preserve">Educational Studies in Mathematics </w:t>
      </w:r>
      <w:r>
        <w:t xml:space="preserve">29, S. 355–374. </w:t>
      </w:r>
    </w:p>
    <w:sectPr w:rsidR="002F1421">
      <w:headerReference w:type="even" r:id="rId15"/>
      <w:headerReference w:type="default" r:id="rId16"/>
      <w:footerReference w:type="even" r:id="rId17"/>
      <w:footerReference w:type="default" r:id="rId18"/>
      <w:headerReference w:type="first" r:id="rId19"/>
      <w:footerReference w:type="first" r:id="rId20"/>
      <w:pgSz w:w="11900" w:h="16840"/>
      <w:pgMar w:top="1536" w:right="1418" w:bottom="1418" w:left="1418" w:header="851"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0004" w:rsidRDefault="00530004">
      <w:pPr>
        <w:spacing w:after="0" w:line="240" w:lineRule="auto"/>
      </w:pPr>
      <w:r>
        <w:separator/>
      </w:r>
    </w:p>
  </w:endnote>
  <w:endnote w:type="continuationSeparator" w:id="0">
    <w:p w:rsidR="00530004" w:rsidRDefault="005300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Lato Regular">
    <w:panose1 w:val="020F0502020204030203"/>
    <w:charset w:val="00"/>
    <w:family w:val="swiss"/>
    <w:pitch w:val="variable"/>
    <w:sig w:usb0="E10002FF" w:usb1="5000ECFF" w:usb2="00000009" w:usb3="00000000" w:csb0="0000019F" w:csb1="00000000"/>
  </w:font>
  <w:font w:name="Lato Bold">
    <w:panose1 w:val="020F0802020204030203"/>
    <w:charset w:val="00"/>
    <w:family w:val="swiss"/>
    <w:pitch w:val="variable"/>
    <w:sig w:usb0="E10002FF" w:usb1="5000ECFF" w:usb2="00000009" w:usb3="00000000" w:csb0="0000019F" w:csb1="00000000"/>
  </w:font>
  <w:font w:name="Lato Light">
    <w:panose1 w:val="020F0402020204030203"/>
    <w:charset w:val="00"/>
    <w:family w:val="swiss"/>
    <w:pitch w:val="variable"/>
    <w:sig w:usb0="E10002FF" w:usb1="5000ECFF" w:usb2="00000009" w:usb3="00000000" w:csb0="0000019F" w:csb1="00000000"/>
  </w:font>
  <w:font w:name="Lato Black">
    <w:panose1 w:val="020F0A02020204030203"/>
    <w:charset w:val="00"/>
    <w:family w:val="swiss"/>
    <w:pitch w:val="variable"/>
    <w:sig w:usb0="E10002FF" w:usb1="5000ECFF" w:usb2="00000009" w:usb3="00000000" w:csb0="0000019F" w:csb1="00000000"/>
  </w:font>
  <w:font w:name="Times">
    <w:panose1 w:val="02000500000000000000"/>
    <w:charset w:val="00"/>
    <w:family w:val="auto"/>
    <w:pitch w:val="variable"/>
    <w:sig w:usb0="E00002FF" w:usb1="5000205A" w:usb2="00000000" w:usb3="00000000" w:csb0="0000019F" w:csb1="00000000"/>
  </w:font>
  <w:font w:name="CC Icons">
    <w:panose1 w:val="02000503000000000000"/>
    <w:charset w:val="4D"/>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421" w:rsidRDefault="00530004">
    <w:pPr>
      <w:pStyle w:val="Kopf-undFuzeilen"/>
    </w:pPr>
    <w:r>
      <w:rPr>
        <w:rFonts w:ascii="CC Icons" w:hAnsi="CC Icons"/>
      </w:rPr>
      <w:t>cba</w:t>
    </w:r>
    <w:r>
      <w:t xml:space="preserve"> Heiko Etzold, Ulrich Kortenkamp, Silke Ladel</w:t>
    </w:r>
    <w:r>
      <w:tab/>
    </w:r>
    <w:r>
      <w:tab/>
    </w:r>
    <w:r>
      <w:fldChar w:fldCharType="begin"/>
    </w:r>
    <w:r>
      <w:instrText xml:space="preserve"> PAGE </w:instrText>
    </w:r>
    <w:r>
      <w:fldChar w:fldCharType="separate"/>
    </w:r>
    <w: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421" w:rsidRDefault="00530004">
    <w:pPr>
      <w:pStyle w:val="Kopf-undFuzeilen"/>
    </w:pPr>
    <w:r>
      <w:rPr>
        <w:rFonts w:ascii="CC Icons" w:hAnsi="CC Icons"/>
      </w:rPr>
      <w:t>cba</w:t>
    </w:r>
    <w:r>
      <w:t xml:space="preserve"> Heiko Etzold, Ulrich Kortenkamp, Silke Ladel</w:t>
    </w:r>
    <w:r>
      <w:tab/>
    </w:r>
    <w:r>
      <w:tab/>
    </w:r>
    <w:r>
      <w:fldChar w:fldCharType="begin"/>
    </w:r>
    <w:r>
      <w:instrText xml:space="preserve"> PAGE </w:instrText>
    </w:r>
    <w:r>
      <w:fldChar w:fldCharType="separate"/>
    </w:r>
    <w: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421" w:rsidRDefault="00530004">
    <w:pPr>
      <w:pStyle w:val="Kopf-undFuzeilen"/>
    </w:pPr>
    <w:r>
      <w:fldChar w:fldCharType="begin"/>
    </w:r>
    <w:r>
      <w:instrText xml:space="preserve"> PAGE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0004" w:rsidRDefault="00530004">
      <w:pPr>
        <w:spacing w:after="0" w:line="240" w:lineRule="auto"/>
      </w:pPr>
      <w:r>
        <w:separator/>
      </w:r>
    </w:p>
  </w:footnote>
  <w:footnote w:type="continuationSeparator" w:id="0">
    <w:p w:rsidR="00530004" w:rsidRDefault="005300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421" w:rsidRDefault="00530004">
    <w:pPr>
      <w:pStyle w:val="Kopf-undFuzeilen"/>
      <w:tabs>
        <w:tab w:val="clear" w:pos="4703"/>
        <w:tab w:val="clear" w:pos="90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ACAT-Review-Guide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421" w:rsidRDefault="00530004">
    <w:pPr>
      <w:pStyle w:val="Kopf-undFuzeilen"/>
    </w:pPr>
    <w:r>
      <w:t>ACAT-Review-Guide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421" w:rsidRDefault="002F1421">
    <w:pPr>
      <w:pStyle w:val="Kopf-undFuzeilen"/>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8F46AC"/>
    <w:multiLevelType w:val="hybridMultilevel"/>
    <w:tmpl w:val="0CA68EE4"/>
    <w:numStyleLink w:val="Punkte"/>
  </w:abstractNum>
  <w:abstractNum w:abstractNumId="1" w15:restartNumberingAfterBreak="0">
    <w:nsid w:val="488D1B39"/>
    <w:multiLevelType w:val="hybridMultilevel"/>
    <w:tmpl w:val="0CA68EE4"/>
    <w:styleLink w:val="Punkte"/>
    <w:lvl w:ilvl="0" w:tplc="63F2C210">
      <w:start w:val="1"/>
      <w:numFmt w:val="bullet"/>
      <w:lvlText w:val="·"/>
      <w:lvlJc w:val="left"/>
      <w:pPr>
        <w:tabs>
          <w:tab w:val="num" w:pos="567"/>
        </w:tabs>
        <w:ind w:left="579" w:hanging="295"/>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6"/>
        <w:highlight w:val="none"/>
        <w:vertAlign w:val="baseline"/>
      </w:rPr>
    </w:lvl>
    <w:lvl w:ilvl="1" w:tplc="75E2C380">
      <w:start w:val="1"/>
      <w:numFmt w:val="bullet"/>
      <w:lvlText w:val="o"/>
      <w:lvlJc w:val="left"/>
      <w:pPr>
        <w:tabs>
          <w:tab w:val="num" w:pos="1416"/>
        </w:tabs>
        <w:ind w:left="1428" w:hanging="348"/>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974475C8">
      <w:start w:val="1"/>
      <w:numFmt w:val="bullet"/>
      <w:lvlText w:val="▪"/>
      <w:lvlJc w:val="left"/>
      <w:pPr>
        <w:tabs>
          <w:tab w:val="num" w:pos="2124"/>
        </w:tabs>
        <w:ind w:left="2136" w:hanging="336"/>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F03CC310">
      <w:start w:val="1"/>
      <w:numFmt w:val="bullet"/>
      <w:lvlText w:val="·"/>
      <w:lvlJc w:val="left"/>
      <w:pPr>
        <w:tabs>
          <w:tab w:val="num" w:pos="2832"/>
        </w:tabs>
        <w:ind w:left="2844" w:hanging="32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C5F852AA">
      <w:start w:val="1"/>
      <w:numFmt w:val="bullet"/>
      <w:lvlText w:val="o"/>
      <w:lvlJc w:val="left"/>
      <w:pPr>
        <w:tabs>
          <w:tab w:val="num" w:pos="3540"/>
        </w:tabs>
        <w:ind w:left="3552" w:hanging="312"/>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5C8A38A">
      <w:start w:val="1"/>
      <w:numFmt w:val="bullet"/>
      <w:lvlText w:val="▪"/>
      <w:lvlJc w:val="left"/>
      <w:pPr>
        <w:tabs>
          <w:tab w:val="num" w:pos="4248"/>
        </w:tabs>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565EDD64">
      <w:start w:val="1"/>
      <w:numFmt w:val="bullet"/>
      <w:lvlText w:val="·"/>
      <w:lvlJc w:val="left"/>
      <w:pPr>
        <w:tabs>
          <w:tab w:val="num" w:pos="4956"/>
        </w:tabs>
        <w:ind w:left="4968" w:hanging="288"/>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D6400A22">
      <w:start w:val="1"/>
      <w:numFmt w:val="bullet"/>
      <w:lvlText w:val="o"/>
      <w:lvlJc w:val="left"/>
      <w:pPr>
        <w:tabs>
          <w:tab w:val="num" w:pos="5664"/>
        </w:tabs>
        <w:ind w:left="5676" w:hanging="276"/>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08AAB3F8">
      <w:start w:val="1"/>
      <w:numFmt w:val="bullet"/>
      <w:lvlText w:val="▪"/>
      <w:lvlJc w:val="left"/>
      <w:pPr>
        <w:tabs>
          <w:tab w:val="num" w:pos="6372"/>
        </w:tabs>
        <w:ind w:left="6384" w:hanging="264"/>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1"/>
  </w:num>
  <w:num w:numId="2">
    <w:abstractNumId w:val="0"/>
  </w:num>
  <w:num w:numId="3">
    <w:abstractNumId w:val="0"/>
    <w:lvlOverride w:ilvl="0">
      <w:lvl w:ilvl="0" w:tplc="0DE67418">
        <w:start w:val="1"/>
        <w:numFmt w:val="bullet"/>
        <w:lvlText w:val="-"/>
        <w:lvlJc w:val="left"/>
        <w:pPr>
          <w:tabs>
            <w:tab w:val="num" w:pos="283"/>
          </w:tabs>
          <w:ind w:left="295" w:hanging="295"/>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248A0DE6">
        <w:start w:val="1"/>
        <w:numFmt w:val="bullet"/>
        <w:lvlText w:val="o"/>
        <w:lvlJc w:val="left"/>
        <w:pPr>
          <w:tabs>
            <w:tab w:val="num" w:pos="1416"/>
          </w:tabs>
          <w:ind w:left="1428" w:hanging="348"/>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B49E8E62">
        <w:start w:val="1"/>
        <w:numFmt w:val="bullet"/>
        <w:lvlText w:val="▪"/>
        <w:lvlJc w:val="left"/>
        <w:pPr>
          <w:tabs>
            <w:tab w:val="num" w:pos="2124"/>
          </w:tabs>
          <w:ind w:left="2136" w:hanging="336"/>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D6AE82E0">
        <w:start w:val="1"/>
        <w:numFmt w:val="bullet"/>
        <w:lvlText w:val="·"/>
        <w:lvlJc w:val="left"/>
        <w:pPr>
          <w:tabs>
            <w:tab w:val="num" w:pos="2832"/>
          </w:tabs>
          <w:ind w:left="2844" w:hanging="324"/>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60D084E8">
        <w:start w:val="1"/>
        <w:numFmt w:val="bullet"/>
        <w:lvlText w:val="o"/>
        <w:lvlJc w:val="left"/>
        <w:pPr>
          <w:tabs>
            <w:tab w:val="num" w:pos="3540"/>
          </w:tabs>
          <w:ind w:left="3552" w:hanging="312"/>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3D58E124">
        <w:start w:val="1"/>
        <w:numFmt w:val="bullet"/>
        <w:lvlText w:val="▪"/>
        <w:lvlJc w:val="left"/>
        <w:pPr>
          <w:tabs>
            <w:tab w:val="num" w:pos="4248"/>
          </w:tabs>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F049888">
        <w:start w:val="1"/>
        <w:numFmt w:val="bullet"/>
        <w:lvlText w:val="·"/>
        <w:lvlJc w:val="left"/>
        <w:pPr>
          <w:tabs>
            <w:tab w:val="num" w:pos="4956"/>
          </w:tabs>
          <w:ind w:left="4968" w:hanging="288"/>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060C68CA">
        <w:start w:val="1"/>
        <w:numFmt w:val="bullet"/>
        <w:lvlText w:val="o"/>
        <w:lvlJc w:val="left"/>
        <w:pPr>
          <w:tabs>
            <w:tab w:val="num" w:pos="5664"/>
          </w:tabs>
          <w:ind w:left="5676" w:hanging="276"/>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93D4CBEC">
        <w:start w:val="1"/>
        <w:numFmt w:val="bullet"/>
        <w:lvlText w:val="▪"/>
        <w:lvlJc w:val="left"/>
        <w:pPr>
          <w:tabs>
            <w:tab w:val="num" w:pos="6372"/>
          </w:tabs>
          <w:ind w:left="6384" w:hanging="264"/>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4">
    <w:abstractNumId w:val="0"/>
    <w:lvlOverride w:ilvl="0">
      <w:lvl w:ilvl="0" w:tplc="0DE67418">
        <w:start w:val="1"/>
        <w:numFmt w:val="bullet"/>
        <w:lvlText w:val="-"/>
        <w:lvlJc w:val="left"/>
        <w:pPr>
          <w:ind w:left="283" w:hanging="283"/>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248A0DE6">
        <w:start w:val="1"/>
        <w:numFmt w:val="bullet"/>
        <w:lvlText w:val="o"/>
        <w:lvlJc w:val="left"/>
        <w:pPr>
          <w:ind w:left="1416" w:hanging="336"/>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B49E8E62">
        <w:start w:val="1"/>
        <w:numFmt w:val="bullet"/>
        <w:lvlText w:val="▪"/>
        <w:lvlJc w:val="left"/>
        <w:pPr>
          <w:ind w:left="2124" w:hanging="324"/>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D6AE82E0">
        <w:start w:val="1"/>
        <w:numFmt w:val="bullet"/>
        <w:lvlText w:val="·"/>
        <w:lvlJc w:val="left"/>
        <w:pPr>
          <w:ind w:left="2832" w:hanging="312"/>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60D084E8">
        <w:start w:val="1"/>
        <w:numFmt w:val="bullet"/>
        <w:lvlText w:val="o"/>
        <w:lvlJc w:val="left"/>
        <w:pPr>
          <w:ind w:left="3540" w:hanging="30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3D58E124">
        <w:start w:val="1"/>
        <w:numFmt w:val="bullet"/>
        <w:lvlText w:val="▪"/>
        <w:lvlJc w:val="left"/>
        <w:pPr>
          <w:ind w:left="4248" w:hanging="288"/>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F049888">
        <w:start w:val="1"/>
        <w:numFmt w:val="bullet"/>
        <w:lvlText w:val="·"/>
        <w:lvlJc w:val="left"/>
        <w:pPr>
          <w:ind w:left="4956" w:hanging="276"/>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060C68CA">
        <w:start w:val="1"/>
        <w:numFmt w:val="bullet"/>
        <w:lvlText w:val="o"/>
        <w:lvlJc w:val="left"/>
        <w:pPr>
          <w:ind w:left="5664" w:hanging="264"/>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93D4CBEC">
        <w:start w:val="1"/>
        <w:numFmt w:val="bullet"/>
        <w:lvlText w:val="▪"/>
        <w:lvlJc w:val="left"/>
        <w:pPr>
          <w:ind w:left="6372" w:hanging="252"/>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defaultTabStop w:val="708"/>
  <w:autoHyphenation/>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421"/>
    <w:rsid w:val="002F1421"/>
    <w:rsid w:val="00530004"/>
    <w:rsid w:val="00FC22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docId w15:val="{6C7DB6F0-97B8-364A-BAB9-6C53FCEC6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pPr>
      <w:tabs>
        <w:tab w:val="left" w:pos="850"/>
      </w:tabs>
      <w:spacing w:after="120" w:line="276" w:lineRule="auto"/>
      <w:jc w:val="both"/>
    </w:pPr>
    <w:rPr>
      <w:rFonts w:ascii="Lato Regular" w:hAnsi="Lato Regular" w:cs="Arial Unicode MS"/>
      <w:color w:val="000000"/>
      <w:sz w:val="24"/>
      <w:szCs w:val="24"/>
      <w:u w:color="000000"/>
    </w:rPr>
  </w:style>
  <w:style w:type="paragraph" w:styleId="berschrift1">
    <w:name w:val="heading 1"/>
    <w:next w:val="Standard"/>
    <w:pPr>
      <w:spacing w:after="360" w:line="276" w:lineRule="auto"/>
      <w:jc w:val="center"/>
      <w:outlineLvl w:val="0"/>
    </w:pPr>
    <w:rPr>
      <w:rFonts w:ascii="Lato Bold" w:hAnsi="Lato Bold" w:cs="Arial Unicode MS"/>
      <w:color w:val="000000"/>
      <w:sz w:val="32"/>
      <w:szCs w:val="32"/>
      <w:u w:color="000000"/>
    </w:rPr>
  </w:style>
  <w:style w:type="paragraph" w:styleId="berschrift2">
    <w:name w:val="heading 2"/>
    <w:next w:val="Standard"/>
    <w:pPr>
      <w:keepNext/>
      <w:spacing w:before="480" w:after="120" w:line="276" w:lineRule="auto"/>
      <w:outlineLvl w:val="1"/>
    </w:pPr>
    <w:rPr>
      <w:rFonts w:ascii="Lato Bold" w:hAnsi="Lato Bold" w:cs="Arial Unicode MS"/>
      <w:color w:val="000000"/>
      <w:sz w:val="24"/>
      <w:szCs w:val="24"/>
      <w:u w:color="000000"/>
    </w:rPr>
  </w:style>
  <w:style w:type="paragraph" w:styleId="berschrift3">
    <w:name w:val="heading 3"/>
    <w:next w:val="Standard"/>
    <w:pPr>
      <w:keepNext/>
      <w:spacing w:before="240" w:after="120" w:line="276" w:lineRule="auto"/>
      <w:jc w:val="both"/>
      <w:outlineLvl w:val="2"/>
    </w:pPr>
    <w:rPr>
      <w:rFonts w:ascii="Lato Regular" w:hAnsi="Lato Regular" w:cs="Arial Unicode MS"/>
      <w:i/>
      <w:iCs/>
      <w:color w:val="000000"/>
      <w:sz w:val="24"/>
      <w:szCs w:val="24"/>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center" w:pos="4703"/>
        <w:tab w:val="right" w:pos="9044"/>
      </w:tabs>
      <w:jc w:val="right"/>
    </w:pPr>
    <w:rPr>
      <w:rFonts w:ascii="Lato Light" w:hAnsi="Lato Light" w:cs="Arial Unicode MS"/>
      <w:color w:val="000000"/>
    </w:rPr>
  </w:style>
  <w:style w:type="paragraph" w:customStyle="1" w:styleId="Autoren">
    <w:name w:val="Autoren"/>
    <w:pPr>
      <w:spacing w:after="360" w:line="276" w:lineRule="auto"/>
      <w:jc w:val="center"/>
      <w:outlineLvl w:val="0"/>
    </w:pPr>
    <w:rPr>
      <w:rFonts w:ascii="Lato Regular" w:hAnsi="Lato Regular" w:cs="Arial Unicode MS"/>
      <w:color w:val="000000"/>
      <w:sz w:val="24"/>
      <w:szCs w:val="24"/>
      <w:u w:color="000000"/>
    </w:rPr>
  </w:style>
  <w:style w:type="character" w:customStyle="1" w:styleId="Hyperlink0">
    <w:name w:val="Hyperlink.0"/>
    <w:basedOn w:val="Hyperlink"/>
    <w:rPr>
      <w:color w:val="000000"/>
      <w:u w:val="none" w:color="000000"/>
    </w:rPr>
  </w:style>
  <w:style w:type="numbering" w:customStyle="1" w:styleId="Punkte">
    <w:name w:val="Punkte"/>
    <w:pPr>
      <w:numPr>
        <w:numId w:val="1"/>
      </w:numPr>
    </w:pPr>
  </w:style>
  <w:style w:type="paragraph" w:customStyle="1" w:styleId="LiteraturverzeichnisPriMaMedien">
    <w:name w:val="Literaturverzeichnis_PriMaMedien"/>
    <w:pPr>
      <w:spacing w:after="60" w:line="276" w:lineRule="auto"/>
      <w:ind w:left="284" w:hanging="284"/>
      <w:jc w:val="both"/>
    </w:pPr>
    <w:rPr>
      <w:rFonts w:ascii="Lato Regular" w:hAnsi="Lato Regular" w:cs="Arial Unicode MS"/>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sa/4.0/" TargetMode="Externa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creativecommons.org/licenses/by-sa/4.0/" TargetMode="External"/><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Lato Bold"/>
        <a:ea typeface="Lato Bold"/>
        <a:cs typeface="Lato Bold"/>
      </a:majorFont>
      <a:minorFont>
        <a:latin typeface="Lato Regular"/>
        <a:ea typeface="Lato Regular"/>
        <a:cs typeface="Lato Regula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just" defTabSz="449580" rtl="0" fontAlgn="auto" latinLnBrk="0" hangingPunct="0">
          <a:lnSpc>
            <a:spcPct val="115000"/>
          </a:lnSpc>
          <a:spcBef>
            <a:spcPts val="600"/>
          </a:spcBef>
          <a:spcAft>
            <a:spcPts val="0"/>
          </a:spcAft>
          <a:buClrTx/>
          <a:buSzTx/>
          <a:buFontTx/>
          <a:buNone/>
          <a:tabLst>
            <a:tab pos="533400" algn="l"/>
          </a:tabLst>
          <a:defRPr kumimoji="0" sz="1200" b="0" i="0" u="none" strike="noStrike" cap="none" spc="0" normalizeH="0" baseline="0">
            <a:ln>
              <a:noFill/>
            </a:ln>
            <a:solidFill>
              <a:srgbClr val="000000"/>
            </a:solidFill>
            <a:effectLst/>
            <a:uFill>
              <a:solidFill>
                <a:srgbClr val="000000"/>
              </a:solidFill>
            </a:uFill>
            <a:latin typeface="+mn-lt"/>
            <a:ea typeface="+mn-ea"/>
            <a:cs typeface="+mn-cs"/>
            <a:sym typeface="Lato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ctr" defTabSz="449580" rtl="0" fontAlgn="auto" latinLnBrk="0" hangingPunct="0">
          <a:lnSpc>
            <a:spcPct val="115000"/>
          </a:lnSpc>
          <a:spcBef>
            <a:spcPts val="1800"/>
          </a:spcBef>
          <a:spcAft>
            <a:spcPts val="0"/>
          </a:spcAft>
          <a:buClrTx/>
          <a:buSzTx/>
          <a:buFontTx/>
          <a:buNone/>
          <a:tabLst/>
          <a:defRPr kumimoji="0" sz="1600" b="0" i="0" u="none" strike="noStrike" cap="none" spc="0" normalizeH="0" baseline="0">
            <a:ln>
              <a:noFill/>
            </a:ln>
            <a:solidFill>
              <a:srgbClr val="000000"/>
            </a:solidFill>
            <a:effectLst/>
            <a:uFill>
              <a:solidFill>
                <a:srgbClr val="000000"/>
              </a:solidFill>
            </a:uFill>
            <a:latin typeface="+mj-lt"/>
            <a:ea typeface="+mj-ea"/>
            <a:cs typeface="+mj-cs"/>
            <a:sym typeface="Lato Bold"/>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1539</Words>
  <Characters>9696</Characters>
  <Application>Microsoft Office Word</Application>
  <DocSecurity>0</DocSecurity>
  <Lines>80</Lines>
  <Paragraphs>22</Paragraphs>
  <ScaleCrop>false</ScaleCrop>
  <Company/>
  <LinksUpToDate>false</LinksUpToDate>
  <CharactersWithSpaces>11213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Heiko Etzold</cp:lastModifiedBy>
  <cp:revision>2</cp:revision>
  <dcterms:created xsi:type="dcterms:W3CDTF">2018-06-05T11:33:00Z</dcterms:created>
  <dcterms:modified xsi:type="dcterms:W3CDTF">2018-06-05T11:33:00Z</dcterms:modified>
</cp:coreProperties>
</file>